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A546" w14:textId="77777777" w:rsidR="00BE43C5" w:rsidRPr="00BE43C5" w:rsidRDefault="00BE43C5" w:rsidP="00BE43C5">
      <w:pPr>
        <w:keepNext/>
        <w:keepLines/>
        <w:suppressAutoHyphens/>
        <w:autoSpaceDN w:val="0"/>
        <w:spacing w:before="240" w:after="0" w:line="242" w:lineRule="auto"/>
        <w:textAlignment w:val="baseline"/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US"/>
        </w:rPr>
      </w:pPr>
      <w:bookmarkStart w:id="0" w:name="_Toc82591142"/>
      <w:r w:rsidRPr="00BE43C5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US"/>
        </w:rPr>
        <w:t>Webinar</w:t>
      </w:r>
      <w:bookmarkEnd w:id="0"/>
      <w:r w:rsidRPr="00BE43C5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US"/>
        </w:rPr>
        <w:br/>
      </w:r>
    </w:p>
    <w:p w14:paraId="5CBB2C18" w14:textId="587CF122" w:rsidR="00BE43C5" w:rsidRPr="00BE43C5" w:rsidRDefault="00BE43C5" w:rsidP="00BE43C5">
      <w:pPr>
        <w:suppressAutoHyphens/>
        <w:autoSpaceDN w:val="0"/>
        <w:spacing w:line="242" w:lineRule="auto"/>
        <w:textAlignment w:val="baseline"/>
        <w:rPr>
          <w:rFonts w:ascii="Calibri" w:eastAsia="Times New Roman" w:hAnsi="Calibri" w:cs="Calibri"/>
          <w:b/>
          <w:bCs/>
          <w:color w:val="2F5496"/>
          <w:sz w:val="24"/>
          <w:szCs w:val="24"/>
        </w:rPr>
      </w:pPr>
      <w:r w:rsidRPr="00BE43C5">
        <w:rPr>
          <w:rFonts w:ascii="Calibri" w:eastAsia="Times New Roman" w:hAnsi="Calibri" w:cs="Calibri"/>
          <w:b/>
          <w:bCs/>
          <w:color w:val="2F5496"/>
          <w:sz w:val="24"/>
          <w:szCs w:val="24"/>
        </w:rPr>
        <w:t xml:space="preserve">Wat is a webinar </w:t>
      </w:r>
    </w:p>
    <w:p w14:paraId="2050C9D9" w14:textId="7A5E9EE1" w:rsidR="00DE43E3" w:rsidRPr="00DE43E3" w:rsidRDefault="00DE43E3" w:rsidP="004B4E21">
      <w:pPr>
        <w:jc w:val="both"/>
        <w:rPr>
          <w:rFonts w:eastAsia="Times New Roman" w:cstheme="minorHAnsi"/>
          <w:sz w:val="24"/>
          <w:szCs w:val="24"/>
          <w:lang w:eastAsia="nl-BE"/>
        </w:rPr>
      </w:pPr>
      <w:r w:rsidRPr="00DE43E3">
        <w:rPr>
          <w:rFonts w:eastAsia="Times New Roman" w:cstheme="minorHAnsi"/>
          <w:sz w:val="24"/>
          <w:szCs w:val="24"/>
          <w:lang w:eastAsia="nl-BE"/>
        </w:rPr>
        <w:t xml:space="preserve">Een webinar is een </w:t>
      </w:r>
      <w:r w:rsidR="00B41577">
        <w:rPr>
          <w:rFonts w:eastAsia="Times New Roman" w:cstheme="minorHAnsi"/>
          <w:sz w:val="24"/>
          <w:szCs w:val="24"/>
          <w:lang w:eastAsia="nl-BE"/>
        </w:rPr>
        <w:t xml:space="preserve">workshop of </w:t>
      </w:r>
      <w:r w:rsidRPr="00DE43E3">
        <w:rPr>
          <w:rFonts w:eastAsia="Times New Roman" w:cstheme="minorHAnsi"/>
          <w:sz w:val="24"/>
          <w:szCs w:val="24"/>
          <w:lang w:eastAsia="nl-BE"/>
        </w:rPr>
        <w:t>presentatie die</w:t>
      </w:r>
      <w:r w:rsidR="00B41577">
        <w:rPr>
          <w:rFonts w:eastAsia="Times New Roman" w:cstheme="minorHAnsi"/>
          <w:sz w:val="24"/>
          <w:szCs w:val="24"/>
          <w:lang w:eastAsia="nl-BE"/>
        </w:rPr>
        <w:t xml:space="preserve"> via internet</w:t>
      </w:r>
      <w:r w:rsidRPr="00DE43E3">
        <w:rPr>
          <w:rFonts w:eastAsia="Times New Roman" w:cstheme="minorHAnsi"/>
          <w:sz w:val="24"/>
          <w:szCs w:val="24"/>
          <w:lang w:eastAsia="nl-BE"/>
        </w:rPr>
        <w:t xml:space="preserve"> in real time wordt ge</w:t>
      </w:r>
      <w:r w:rsidR="00496B1A">
        <w:rPr>
          <w:rFonts w:eastAsia="Times New Roman" w:cstheme="minorHAnsi"/>
          <w:sz w:val="24"/>
          <w:szCs w:val="24"/>
          <w:lang w:eastAsia="nl-BE"/>
        </w:rPr>
        <w:t xml:space="preserve">geven. </w:t>
      </w:r>
      <w:r w:rsidR="00F364A1" w:rsidRPr="00F364A1">
        <w:rPr>
          <w:rFonts w:eastAsia="Times New Roman" w:cstheme="minorHAnsi"/>
          <w:sz w:val="24"/>
          <w:szCs w:val="24"/>
          <w:lang w:eastAsia="nl-BE"/>
        </w:rPr>
        <w:t xml:space="preserve">Een </w:t>
      </w:r>
      <w:r w:rsidR="00F364A1" w:rsidRPr="00F364A1">
        <w:rPr>
          <w:rFonts w:eastAsia="Times New Roman" w:cstheme="minorHAnsi"/>
          <w:sz w:val="24"/>
          <w:szCs w:val="24"/>
          <w:lang w:eastAsia="nl-BE"/>
        </w:rPr>
        <w:t xml:space="preserve">webinar </w:t>
      </w:r>
      <w:r w:rsidR="00F364A1">
        <w:rPr>
          <w:rFonts w:eastAsia="Times New Roman" w:cstheme="minorHAnsi"/>
          <w:sz w:val="24"/>
          <w:szCs w:val="24"/>
          <w:lang w:eastAsia="nl-BE"/>
        </w:rPr>
        <w:t xml:space="preserve">is vergelijkbaar met een </w:t>
      </w:r>
      <w:r w:rsidR="00F364A1" w:rsidRPr="00F364A1">
        <w:rPr>
          <w:rFonts w:eastAsia="Times New Roman" w:cstheme="minorHAnsi"/>
          <w:sz w:val="24"/>
          <w:szCs w:val="24"/>
          <w:lang w:eastAsia="nl-BE"/>
        </w:rPr>
        <w:t xml:space="preserve">lezing waarbij een </w:t>
      </w:r>
      <w:proofErr w:type="spellStart"/>
      <w:r w:rsidR="00F364A1" w:rsidRPr="00F364A1">
        <w:rPr>
          <w:rFonts w:eastAsia="Times New Roman" w:cstheme="minorHAnsi"/>
          <w:sz w:val="24"/>
          <w:szCs w:val="24"/>
          <w:lang w:eastAsia="nl-BE"/>
        </w:rPr>
        <w:t>keynote</w:t>
      </w:r>
      <w:proofErr w:type="spellEnd"/>
      <w:r w:rsidR="00F364A1" w:rsidRPr="00F364A1">
        <w:rPr>
          <w:rFonts w:eastAsia="Times New Roman" w:cstheme="minorHAnsi"/>
          <w:sz w:val="24"/>
          <w:szCs w:val="24"/>
          <w:lang w:eastAsia="nl-BE"/>
        </w:rPr>
        <w:t xml:space="preserve"> spreker voor een zaal met geïnteresseerde deelnemers presenteert.</w:t>
      </w:r>
      <w:r w:rsidR="002329F6">
        <w:rPr>
          <w:rFonts w:eastAsia="Times New Roman" w:cstheme="minorHAnsi"/>
          <w:sz w:val="24"/>
          <w:szCs w:val="24"/>
          <w:lang w:eastAsia="nl-BE"/>
        </w:rPr>
        <w:t xml:space="preserve"> </w:t>
      </w:r>
    </w:p>
    <w:p w14:paraId="2DD0B88B" w14:textId="4BB86D41" w:rsidR="00DE43E3" w:rsidRPr="00DE43E3" w:rsidRDefault="00921066" w:rsidP="00083B5C">
      <w:pPr>
        <w:jc w:val="both"/>
        <w:rPr>
          <w:rFonts w:eastAsia="Times New Roman" w:cstheme="minorHAnsi"/>
          <w:sz w:val="24"/>
          <w:szCs w:val="24"/>
          <w:lang w:eastAsia="nl-BE"/>
        </w:rPr>
      </w:pPr>
      <w:r>
        <w:rPr>
          <w:rFonts w:eastAsia="Times New Roman" w:cstheme="minorHAnsi"/>
          <w:sz w:val="24"/>
          <w:szCs w:val="24"/>
          <w:lang w:eastAsia="nl-BE"/>
        </w:rPr>
        <w:t xml:space="preserve">Een webinar </w:t>
      </w:r>
      <w:r w:rsidR="000830BB">
        <w:rPr>
          <w:rFonts w:eastAsia="Times New Roman" w:cstheme="minorHAnsi"/>
          <w:sz w:val="24"/>
          <w:szCs w:val="24"/>
          <w:lang w:eastAsia="nl-BE"/>
        </w:rPr>
        <w:t xml:space="preserve">is een </w:t>
      </w:r>
      <w:r w:rsidR="00DE43E3" w:rsidRPr="00DE43E3">
        <w:rPr>
          <w:rFonts w:eastAsia="Times New Roman" w:cstheme="minorHAnsi"/>
          <w:sz w:val="24"/>
          <w:szCs w:val="24"/>
          <w:lang w:eastAsia="nl-BE"/>
        </w:rPr>
        <w:t xml:space="preserve">gemakkelijk instrument om </w:t>
      </w:r>
      <w:r w:rsidR="00FE3A64" w:rsidRPr="00FE3A64">
        <w:rPr>
          <w:rFonts w:eastAsia="Times New Roman" w:cstheme="minorHAnsi"/>
          <w:i/>
          <w:iCs/>
          <w:sz w:val="24"/>
          <w:szCs w:val="24"/>
          <w:lang w:eastAsia="nl-BE"/>
        </w:rPr>
        <w:t>in real time</w:t>
      </w:r>
      <w:r w:rsidR="00FE3A64">
        <w:rPr>
          <w:rFonts w:eastAsia="Times New Roman" w:cstheme="minorHAnsi"/>
          <w:sz w:val="24"/>
          <w:szCs w:val="24"/>
          <w:lang w:eastAsia="nl-BE"/>
        </w:rPr>
        <w:t xml:space="preserve"> </w:t>
      </w:r>
      <w:r w:rsidR="00DE43E3" w:rsidRPr="00DE43E3">
        <w:rPr>
          <w:rFonts w:eastAsia="Times New Roman" w:cstheme="minorHAnsi"/>
          <w:sz w:val="24"/>
          <w:szCs w:val="24"/>
          <w:lang w:eastAsia="nl-BE"/>
        </w:rPr>
        <w:t>een groot en verspreid publiek te bereiken en om discussies op gang te brengen</w:t>
      </w:r>
      <w:r w:rsidR="00035D9D">
        <w:rPr>
          <w:rFonts w:eastAsia="Times New Roman" w:cstheme="minorHAnsi"/>
          <w:sz w:val="24"/>
          <w:szCs w:val="24"/>
          <w:lang w:eastAsia="nl-BE"/>
        </w:rPr>
        <w:t xml:space="preserve">. </w:t>
      </w:r>
      <w:r w:rsidR="0049243E">
        <w:rPr>
          <w:rFonts w:eastAsia="Times New Roman" w:cstheme="minorHAnsi"/>
          <w:sz w:val="24"/>
          <w:szCs w:val="24"/>
          <w:lang w:eastAsia="nl-BE"/>
        </w:rPr>
        <w:t xml:space="preserve">Begeleidend materiaal zoals instructiefilmpjes, </w:t>
      </w:r>
      <w:r w:rsidR="00DE43E3" w:rsidRPr="00DE43E3">
        <w:rPr>
          <w:rFonts w:eastAsia="Times New Roman" w:cstheme="minorHAnsi"/>
          <w:sz w:val="24"/>
          <w:szCs w:val="24"/>
          <w:lang w:eastAsia="nl-BE"/>
        </w:rPr>
        <w:t>presentaties</w:t>
      </w:r>
      <w:r w:rsidR="00E04CA9">
        <w:rPr>
          <w:rFonts w:eastAsia="Times New Roman" w:cstheme="minorHAnsi"/>
          <w:sz w:val="24"/>
          <w:szCs w:val="24"/>
          <w:lang w:eastAsia="nl-BE"/>
        </w:rPr>
        <w:t>…</w:t>
      </w:r>
      <w:r w:rsidR="00083B5C">
        <w:rPr>
          <w:rFonts w:eastAsia="Times New Roman" w:cstheme="minorHAnsi"/>
          <w:sz w:val="24"/>
          <w:szCs w:val="24"/>
          <w:lang w:eastAsia="nl-BE"/>
        </w:rPr>
        <w:t xml:space="preserve">kan ook vertoon worden. </w:t>
      </w:r>
      <w:r w:rsidR="002329F6">
        <w:rPr>
          <w:rFonts w:eastAsia="Times New Roman" w:cstheme="minorHAnsi"/>
          <w:sz w:val="24"/>
          <w:szCs w:val="24"/>
          <w:lang w:eastAsia="nl-BE"/>
        </w:rPr>
        <w:t>Een webinar maakt een bepaalde mate van interactiviteit mogelijk tussen de organisator en de deelnemers.</w:t>
      </w:r>
      <w:r w:rsidR="00FE3A64">
        <w:rPr>
          <w:rFonts w:eastAsia="Times New Roman" w:cstheme="minorHAnsi"/>
          <w:sz w:val="24"/>
          <w:szCs w:val="24"/>
          <w:lang w:eastAsia="nl-BE"/>
        </w:rPr>
        <w:t xml:space="preserve"> </w:t>
      </w:r>
      <w:r w:rsidR="0094009C">
        <w:rPr>
          <w:rFonts w:eastAsia="Times New Roman" w:cstheme="minorHAnsi"/>
          <w:sz w:val="24"/>
          <w:szCs w:val="24"/>
          <w:lang w:eastAsia="nl-BE"/>
        </w:rPr>
        <w:t xml:space="preserve">Dit gebeurt </w:t>
      </w:r>
      <w:r w:rsidR="00083B5C" w:rsidRPr="00DE43E3">
        <w:rPr>
          <w:rFonts w:eastAsia="Times New Roman" w:cstheme="minorHAnsi"/>
          <w:sz w:val="24"/>
          <w:szCs w:val="24"/>
          <w:lang w:eastAsia="nl-BE"/>
        </w:rPr>
        <w:t xml:space="preserve">in </w:t>
      </w:r>
      <w:r w:rsidR="00083B5C">
        <w:rPr>
          <w:rFonts w:eastAsia="Times New Roman" w:cstheme="minorHAnsi"/>
          <w:sz w:val="24"/>
          <w:szCs w:val="24"/>
          <w:lang w:eastAsia="nl-BE"/>
        </w:rPr>
        <w:t>de</w:t>
      </w:r>
      <w:r w:rsidR="00083B5C" w:rsidRPr="00DE43E3">
        <w:rPr>
          <w:rFonts w:eastAsia="Times New Roman" w:cstheme="minorHAnsi"/>
          <w:sz w:val="24"/>
          <w:szCs w:val="24"/>
          <w:lang w:eastAsia="nl-BE"/>
        </w:rPr>
        <w:t xml:space="preserve"> chatapplicatie</w:t>
      </w:r>
      <w:r w:rsidR="00DE43E3" w:rsidRPr="00DE43E3">
        <w:rPr>
          <w:rFonts w:eastAsia="Times New Roman" w:cstheme="minorHAnsi"/>
          <w:sz w:val="24"/>
          <w:szCs w:val="24"/>
          <w:lang w:eastAsia="nl-BE"/>
        </w:rPr>
        <w:t xml:space="preserve">, meestal via polls </w:t>
      </w:r>
      <w:r w:rsidR="00083B5C">
        <w:rPr>
          <w:rFonts w:eastAsia="Times New Roman" w:cstheme="minorHAnsi"/>
          <w:sz w:val="24"/>
          <w:szCs w:val="24"/>
          <w:lang w:eastAsia="nl-BE"/>
        </w:rPr>
        <w:t>of</w:t>
      </w:r>
      <w:r w:rsidR="00DE43E3" w:rsidRPr="00DE43E3">
        <w:rPr>
          <w:rFonts w:eastAsia="Times New Roman" w:cstheme="minorHAnsi"/>
          <w:sz w:val="24"/>
          <w:szCs w:val="24"/>
          <w:lang w:eastAsia="nl-BE"/>
        </w:rPr>
        <w:t xml:space="preserve"> vragen</w:t>
      </w:r>
      <w:r w:rsidR="00083B5C">
        <w:rPr>
          <w:rFonts w:eastAsia="Times New Roman" w:cstheme="minorHAnsi"/>
          <w:sz w:val="24"/>
          <w:szCs w:val="24"/>
          <w:lang w:eastAsia="nl-BE"/>
        </w:rPr>
        <w:t xml:space="preserve">. </w:t>
      </w:r>
    </w:p>
    <w:p w14:paraId="3B446DE9" w14:textId="1E292C3B" w:rsidR="00DE43E3" w:rsidRPr="00DE43E3" w:rsidRDefault="00DE43E3" w:rsidP="00DE43E3">
      <w:pPr>
        <w:rPr>
          <w:rFonts w:eastAsia="Times New Roman" w:cstheme="minorHAnsi"/>
          <w:sz w:val="24"/>
          <w:szCs w:val="24"/>
          <w:lang w:eastAsia="nl-BE"/>
        </w:rPr>
      </w:pPr>
      <w:r w:rsidRPr="00DE43E3">
        <w:rPr>
          <w:rFonts w:eastAsia="Times New Roman" w:cstheme="minorHAnsi"/>
          <w:sz w:val="24"/>
          <w:szCs w:val="24"/>
          <w:lang w:eastAsia="nl-BE"/>
        </w:rPr>
        <w:t xml:space="preserve">Een webinar is geschikt voor het overbrengen van een beperkte hoeveelheid informatie </w:t>
      </w:r>
      <w:r w:rsidR="00B577EA">
        <w:rPr>
          <w:rFonts w:eastAsia="Times New Roman" w:cstheme="minorHAnsi"/>
          <w:sz w:val="24"/>
          <w:szCs w:val="24"/>
          <w:lang w:eastAsia="nl-BE"/>
        </w:rPr>
        <w:t>d</w:t>
      </w:r>
      <w:r w:rsidRPr="00DE43E3">
        <w:rPr>
          <w:rFonts w:eastAsia="Times New Roman" w:cstheme="minorHAnsi"/>
          <w:sz w:val="24"/>
          <w:szCs w:val="24"/>
          <w:lang w:eastAsia="nl-BE"/>
        </w:rPr>
        <w:t xml:space="preserve">ie </w:t>
      </w:r>
      <w:r w:rsidR="00B577EA">
        <w:rPr>
          <w:rFonts w:eastAsia="Times New Roman" w:cstheme="minorHAnsi"/>
          <w:sz w:val="24"/>
          <w:szCs w:val="24"/>
          <w:lang w:eastAsia="nl-BE"/>
        </w:rPr>
        <w:t>snel</w:t>
      </w:r>
      <w:r w:rsidRPr="00DE43E3">
        <w:rPr>
          <w:rFonts w:eastAsia="Times New Roman" w:cstheme="minorHAnsi"/>
          <w:sz w:val="24"/>
          <w:szCs w:val="24"/>
          <w:lang w:eastAsia="nl-BE"/>
        </w:rPr>
        <w:t xml:space="preserve"> verandert.</w:t>
      </w:r>
    </w:p>
    <w:p w14:paraId="6C061CE8" w14:textId="10F738B7" w:rsidR="00DE43E3" w:rsidRPr="00DE43E3" w:rsidRDefault="00DE43E3" w:rsidP="005E7444">
      <w:pPr>
        <w:jc w:val="both"/>
        <w:rPr>
          <w:rFonts w:eastAsia="Times New Roman" w:cstheme="minorHAnsi"/>
          <w:sz w:val="24"/>
          <w:szCs w:val="24"/>
          <w:lang w:eastAsia="nl-BE"/>
        </w:rPr>
      </w:pPr>
      <w:r w:rsidRPr="00DE43E3">
        <w:rPr>
          <w:rFonts w:eastAsia="Times New Roman" w:cstheme="minorHAnsi"/>
          <w:sz w:val="24"/>
          <w:szCs w:val="24"/>
          <w:lang w:eastAsia="nl-BE"/>
        </w:rPr>
        <w:t>In sommige gevallen is een webinar echter minder geschikt</w:t>
      </w:r>
      <w:r w:rsidR="00B577EA">
        <w:rPr>
          <w:rFonts w:eastAsia="Times New Roman" w:cstheme="minorHAnsi"/>
          <w:sz w:val="24"/>
          <w:szCs w:val="24"/>
          <w:lang w:eastAsia="nl-BE"/>
        </w:rPr>
        <w:t xml:space="preserve">, </w:t>
      </w:r>
      <w:r w:rsidRPr="00DE43E3">
        <w:rPr>
          <w:rFonts w:eastAsia="Times New Roman" w:cstheme="minorHAnsi"/>
          <w:sz w:val="24"/>
          <w:szCs w:val="24"/>
          <w:lang w:eastAsia="nl-BE"/>
        </w:rPr>
        <w:t xml:space="preserve">bijvoorbeeld als u </w:t>
      </w:r>
      <w:r w:rsidR="005E7444">
        <w:rPr>
          <w:rFonts w:eastAsia="Times New Roman" w:cstheme="minorHAnsi"/>
          <w:sz w:val="24"/>
          <w:szCs w:val="24"/>
          <w:lang w:eastAsia="nl-BE"/>
        </w:rPr>
        <w:t xml:space="preserve">praktische </w:t>
      </w:r>
      <w:r w:rsidRPr="00DE43E3">
        <w:rPr>
          <w:rFonts w:eastAsia="Times New Roman" w:cstheme="minorHAnsi"/>
          <w:sz w:val="24"/>
          <w:szCs w:val="24"/>
          <w:lang w:eastAsia="nl-BE"/>
        </w:rPr>
        <w:t>vaardigheden moet oefenen.</w:t>
      </w:r>
    </w:p>
    <w:p w14:paraId="093F7B12" w14:textId="1FF1369C" w:rsidR="00C809D1" w:rsidRPr="00C809D1" w:rsidRDefault="00C809D1" w:rsidP="00C809D1">
      <w:pPr>
        <w:rPr>
          <w:rFonts w:eastAsia="Times New Roman" w:cs="Calibri"/>
          <w:b/>
          <w:bCs/>
          <w:color w:val="2F5496"/>
          <w:sz w:val="24"/>
          <w:szCs w:val="24"/>
        </w:rPr>
      </w:pPr>
      <w:r w:rsidRPr="00C809D1">
        <w:rPr>
          <w:rFonts w:eastAsia="Times New Roman" w:cs="Calibri"/>
          <w:b/>
          <w:bCs/>
          <w:color w:val="2F5496"/>
          <w:sz w:val="24"/>
          <w:szCs w:val="24"/>
        </w:rPr>
        <w:t xml:space="preserve">Waarom </w:t>
      </w:r>
      <w:r>
        <w:rPr>
          <w:rFonts w:eastAsia="Times New Roman" w:cs="Calibri"/>
          <w:b/>
          <w:bCs/>
          <w:color w:val="2F5496"/>
          <w:sz w:val="24"/>
          <w:szCs w:val="24"/>
        </w:rPr>
        <w:t xml:space="preserve">een webinar </w:t>
      </w:r>
      <w:r w:rsidRPr="00C809D1">
        <w:rPr>
          <w:rFonts w:eastAsia="Times New Roman" w:cs="Calibri"/>
          <w:b/>
          <w:bCs/>
          <w:color w:val="2F5496"/>
          <w:sz w:val="24"/>
          <w:szCs w:val="24"/>
        </w:rPr>
        <w:t xml:space="preserve">gebruiken als leertechnologie   </w:t>
      </w:r>
    </w:p>
    <w:p w14:paraId="59D52FBD" w14:textId="630C06A4" w:rsidR="001F6133" w:rsidRPr="001F6133" w:rsidRDefault="001F6133" w:rsidP="001F6133">
      <w:pPr>
        <w:pStyle w:val="Lijstalinea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</w:t>
      </w:r>
      <w:r w:rsidRPr="001F6133">
        <w:rPr>
          <w:rFonts w:eastAsia="Times New Roman" w:cstheme="minorHAnsi"/>
          <w:sz w:val="24"/>
          <w:szCs w:val="24"/>
        </w:rPr>
        <w:t>emakkelijk te ontwikkelen</w:t>
      </w:r>
    </w:p>
    <w:p w14:paraId="629547E4" w14:textId="3AD12EEA" w:rsidR="001F6133" w:rsidRPr="001F6133" w:rsidRDefault="001F6133" w:rsidP="001F6133">
      <w:pPr>
        <w:pStyle w:val="Lijstalinea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Is</w:t>
      </w:r>
      <w:r w:rsidRPr="001F6133">
        <w:rPr>
          <w:rFonts w:eastAsia="Times New Roman" w:cstheme="minorHAnsi"/>
          <w:sz w:val="24"/>
          <w:szCs w:val="24"/>
        </w:rPr>
        <w:t xml:space="preserve"> tijd- en kostenefficiënt</w:t>
      </w:r>
    </w:p>
    <w:p w14:paraId="13F3D4B1" w14:textId="51231FCB" w:rsidR="001F6133" w:rsidRPr="001F6133" w:rsidRDefault="001F6133" w:rsidP="001F6133">
      <w:pPr>
        <w:pStyle w:val="Lijstalinea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</w:t>
      </w:r>
      <w:r w:rsidRPr="001F6133">
        <w:rPr>
          <w:rFonts w:eastAsia="Times New Roman" w:cstheme="minorHAnsi"/>
          <w:sz w:val="24"/>
          <w:szCs w:val="24"/>
        </w:rPr>
        <w:t xml:space="preserve">emakkelijk </w:t>
      </w:r>
      <w:r w:rsidR="001347DA">
        <w:rPr>
          <w:rFonts w:eastAsia="Times New Roman" w:cstheme="minorHAnsi"/>
          <w:sz w:val="24"/>
          <w:szCs w:val="24"/>
        </w:rPr>
        <w:t xml:space="preserve">om deel te nemen als </w:t>
      </w:r>
      <w:r w:rsidRPr="001F6133">
        <w:rPr>
          <w:rFonts w:eastAsia="Times New Roman" w:cstheme="minorHAnsi"/>
          <w:sz w:val="24"/>
          <w:szCs w:val="24"/>
        </w:rPr>
        <w:t>kijker</w:t>
      </w:r>
      <w:r w:rsidR="001347DA">
        <w:rPr>
          <w:rFonts w:eastAsia="Times New Roman" w:cstheme="minorHAnsi"/>
          <w:sz w:val="24"/>
          <w:szCs w:val="24"/>
        </w:rPr>
        <w:t xml:space="preserve"> </w:t>
      </w:r>
      <w:r w:rsidRPr="001F6133">
        <w:rPr>
          <w:rFonts w:eastAsia="Times New Roman" w:cstheme="minorHAnsi"/>
          <w:sz w:val="24"/>
          <w:szCs w:val="24"/>
        </w:rPr>
        <w:t xml:space="preserve"> </w:t>
      </w:r>
    </w:p>
    <w:p w14:paraId="3AAB0C78" w14:textId="7BE18385" w:rsidR="00BE43C5" w:rsidRPr="001F6133" w:rsidRDefault="001347DA" w:rsidP="001F6133">
      <w:pPr>
        <w:pStyle w:val="Lijstalinea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</w:t>
      </w:r>
      <w:r w:rsidR="001F6133" w:rsidRPr="001F6133">
        <w:rPr>
          <w:rFonts w:eastAsia="Times New Roman" w:cstheme="minorHAnsi"/>
          <w:sz w:val="24"/>
          <w:szCs w:val="24"/>
        </w:rPr>
        <w:t>ogelijk om een groot publiek in één keer te bereiken</w:t>
      </w:r>
    </w:p>
    <w:tbl>
      <w:tblPr>
        <w:tblStyle w:val="Tabelraster"/>
        <w:tblW w:w="90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E43C5" w:rsidRPr="00BE43C5" w14:paraId="77931674" w14:textId="77777777" w:rsidTr="00B938D2">
        <w:tc>
          <w:tcPr>
            <w:tcW w:w="4528" w:type="dxa"/>
          </w:tcPr>
          <w:p w14:paraId="4F0A1E1A" w14:textId="7BE466B5" w:rsidR="00BE43C5" w:rsidRPr="00BE43C5" w:rsidRDefault="00C809D1" w:rsidP="00BE43C5">
            <w:pP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  <w:t>Voordelen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5231A25D" w14:textId="5C8A93B1" w:rsidR="00BE43C5" w:rsidRPr="00BE43C5" w:rsidRDefault="00C809D1" w:rsidP="00BE43C5">
            <w:pP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  <w:t xml:space="preserve">Minder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  <w:t>geschikt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  <w:t>voor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  <w:t xml:space="preserve"> </w:t>
            </w:r>
          </w:p>
          <w:p w14:paraId="552E983C" w14:textId="77777777" w:rsidR="00BE43C5" w:rsidRPr="00BE43C5" w:rsidRDefault="00BE43C5" w:rsidP="00BE43C5">
            <w:pP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</w:pPr>
          </w:p>
        </w:tc>
      </w:tr>
      <w:tr w:rsidR="00BE43C5" w:rsidRPr="00BE43C5" w14:paraId="6725DD25" w14:textId="77777777" w:rsidTr="00B938D2">
        <w:tc>
          <w:tcPr>
            <w:tcW w:w="4528" w:type="dxa"/>
          </w:tcPr>
          <w:p w14:paraId="2A4C4560" w14:textId="5ABF9037" w:rsidR="00E52500" w:rsidRPr="00E52500" w:rsidRDefault="0053579F" w:rsidP="00E52500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proofErr w:type="spellStart"/>
            <w:r>
              <w:rPr>
                <w:rFonts w:eastAsia="Times New Roman" w:cstheme="minorHAnsi"/>
                <w:lang w:val="en-GB"/>
              </w:rPr>
              <w:t>Eenvoudig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GB"/>
              </w:rPr>
              <w:t>en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GB"/>
              </w:rPr>
              <w:t>goedkoop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GB"/>
              </w:rPr>
              <w:t>te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GB"/>
              </w:rPr>
              <w:t>ontwikkelen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</w:t>
            </w:r>
          </w:p>
          <w:p w14:paraId="7A9E519B" w14:textId="77777777" w:rsidR="001A7E17" w:rsidRDefault="006118F0" w:rsidP="00E52500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Kan overal ter wereld georganiseerd worden </w:t>
            </w:r>
          </w:p>
          <w:p w14:paraId="7EF07557" w14:textId="53CF7319" w:rsidR="00E52500" w:rsidRPr="00E52500" w:rsidRDefault="005B41EA" w:rsidP="00E52500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</w:t>
            </w:r>
            <w:r w:rsidR="00E52500" w:rsidRPr="00E52500">
              <w:rPr>
                <w:rFonts w:eastAsia="Times New Roman" w:cstheme="minorHAnsi"/>
              </w:rPr>
              <w:t>emakkelijk om deel te nemen</w:t>
            </w:r>
            <w:r w:rsidR="0094451C">
              <w:rPr>
                <w:rFonts w:eastAsia="Times New Roman" w:cstheme="minorHAnsi"/>
              </w:rPr>
              <w:t xml:space="preserve"> als kijker </w:t>
            </w:r>
          </w:p>
          <w:p w14:paraId="69D27706" w14:textId="6B2C04DA" w:rsidR="00E52500" w:rsidRPr="00E52500" w:rsidRDefault="005B41EA" w:rsidP="00E52500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</w:t>
            </w:r>
            <w:r w:rsidR="00E52500" w:rsidRPr="00E52500">
              <w:rPr>
                <w:rFonts w:eastAsia="Times New Roman" w:cstheme="minorHAnsi"/>
              </w:rPr>
              <w:t xml:space="preserve">an worden opgenomen en </w:t>
            </w:r>
            <w:r>
              <w:rPr>
                <w:rFonts w:eastAsia="Times New Roman" w:cstheme="minorHAnsi"/>
              </w:rPr>
              <w:t xml:space="preserve">herbekeken </w:t>
            </w:r>
          </w:p>
          <w:p w14:paraId="20942497" w14:textId="6D9CA998" w:rsidR="00BE43C5" w:rsidRPr="00BE43C5" w:rsidRDefault="001A7E17" w:rsidP="00E52500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t>Iedereen krijgt gelijktijdig dezelfde boodschap</w:t>
            </w:r>
          </w:p>
        </w:tc>
        <w:tc>
          <w:tcPr>
            <w:tcW w:w="4528" w:type="dxa"/>
          </w:tcPr>
          <w:p w14:paraId="3207D913" w14:textId="77777777" w:rsidR="00597B8A" w:rsidRPr="00597B8A" w:rsidRDefault="00597B8A" w:rsidP="00597B8A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proofErr w:type="spellStart"/>
            <w:r w:rsidRPr="00597B8A">
              <w:rPr>
                <w:rFonts w:eastAsia="Times New Roman" w:cstheme="minorHAnsi"/>
                <w:lang w:val="en-GB"/>
              </w:rPr>
              <w:t>Snel</w:t>
            </w:r>
            <w:proofErr w:type="spellEnd"/>
            <w:r w:rsidRPr="00597B8A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597B8A">
              <w:rPr>
                <w:rFonts w:eastAsia="Times New Roman" w:cstheme="minorHAnsi"/>
                <w:lang w:val="en-GB"/>
              </w:rPr>
              <w:t>veranderende</w:t>
            </w:r>
            <w:proofErr w:type="spellEnd"/>
            <w:r w:rsidRPr="00597B8A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597B8A">
              <w:rPr>
                <w:rFonts w:eastAsia="Times New Roman" w:cstheme="minorHAnsi"/>
                <w:lang w:val="en-GB"/>
              </w:rPr>
              <w:t>leerinhouden</w:t>
            </w:r>
            <w:proofErr w:type="spellEnd"/>
          </w:p>
          <w:p w14:paraId="721F7A7A" w14:textId="7B811464" w:rsidR="00597B8A" w:rsidRPr="00597B8A" w:rsidRDefault="00597B8A" w:rsidP="00597B8A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 w:rsidRPr="00597B8A">
              <w:rPr>
                <w:rFonts w:eastAsia="Times New Roman" w:cstheme="minorHAnsi"/>
                <w:lang w:val="en-GB"/>
              </w:rPr>
              <w:t xml:space="preserve">Grote </w:t>
            </w:r>
            <w:proofErr w:type="spellStart"/>
            <w:r w:rsidRPr="00597B8A">
              <w:rPr>
                <w:rFonts w:eastAsia="Times New Roman" w:cstheme="minorHAnsi"/>
                <w:lang w:val="en-GB"/>
              </w:rPr>
              <w:t>hoeveelheden</w:t>
            </w:r>
            <w:proofErr w:type="spellEnd"/>
            <w:r w:rsidRPr="00597B8A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597B8A">
              <w:rPr>
                <w:rFonts w:eastAsia="Times New Roman" w:cstheme="minorHAnsi"/>
                <w:lang w:val="en-GB"/>
              </w:rPr>
              <w:t>cognitieve</w:t>
            </w:r>
            <w:proofErr w:type="spellEnd"/>
            <w:r w:rsidRPr="00597B8A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597B8A">
              <w:rPr>
                <w:rFonts w:eastAsia="Times New Roman" w:cstheme="minorHAnsi"/>
                <w:lang w:val="en-GB"/>
              </w:rPr>
              <w:t>informatie</w:t>
            </w:r>
            <w:proofErr w:type="spellEnd"/>
          </w:p>
          <w:p w14:paraId="3CAA8C96" w14:textId="451C2F60" w:rsidR="00597B8A" w:rsidRPr="00597B8A" w:rsidRDefault="00597B8A" w:rsidP="00597B8A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eastAsia="Times New Roman" w:cstheme="minorHAnsi"/>
              </w:rPr>
            </w:pPr>
            <w:r w:rsidRPr="00597B8A">
              <w:rPr>
                <w:rFonts w:eastAsia="Times New Roman" w:cstheme="minorHAnsi"/>
              </w:rPr>
              <w:t xml:space="preserve">Grote </w:t>
            </w:r>
            <w:r w:rsidRPr="00597B8A">
              <w:rPr>
                <w:rFonts w:eastAsia="Times New Roman" w:cstheme="minorHAnsi"/>
              </w:rPr>
              <w:t>interactie met het publiek</w:t>
            </w:r>
          </w:p>
          <w:p w14:paraId="5534D6EB" w14:textId="21EB6F9A" w:rsidR="00BE43C5" w:rsidRPr="00BE43C5" w:rsidRDefault="00597B8A" w:rsidP="00597B8A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cstheme="minorHAnsi"/>
                <w:lang w:val="en-GB"/>
              </w:rPr>
            </w:pPr>
            <w:proofErr w:type="spellStart"/>
            <w:r w:rsidRPr="00597B8A">
              <w:rPr>
                <w:rFonts w:eastAsia="Times New Roman" w:cstheme="minorHAnsi"/>
                <w:lang w:val="en-GB"/>
              </w:rPr>
              <w:t>Instabiele</w:t>
            </w:r>
            <w:proofErr w:type="spellEnd"/>
            <w:r w:rsidRPr="00597B8A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597B8A">
              <w:rPr>
                <w:rFonts w:eastAsia="Times New Roman" w:cstheme="minorHAnsi"/>
                <w:lang w:val="en-GB"/>
              </w:rPr>
              <w:t>internetverbinding</w:t>
            </w:r>
            <w:proofErr w:type="spellEnd"/>
          </w:p>
        </w:tc>
      </w:tr>
    </w:tbl>
    <w:p w14:paraId="32A1C43C" w14:textId="77777777" w:rsidR="00BE43C5" w:rsidRPr="00BE43C5" w:rsidRDefault="00BE43C5" w:rsidP="00BE43C5">
      <w:pPr>
        <w:rPr>
          <w:rFonts w:cstheme="minorHAnsi"/>
          <w:lang w:val="en-GB"/>
        </w:rPr>
      </w:pPr>
    </w:p>
    <w:p w14:paraId="4CF04D9B" w14:textId="11CAB688" w:rsidR="00832746" w:rsidRPr="00832746" w:rsidRDefault="00832746" w:rsidP="00832746">
      <w:pPr>
        <w:suppressAutoHyphens/>
        <w:autoSpaceDN w:val="0"/>
        <w:spacing w:line="256" w:lineRule="auto"/>
        <w:rPr>
          <w:rFonts w:ascii="Calibri" w:eastAsia="Calibri" w:hAnsi="Calibri" w:cs="Times New Roman"/>
        </w:rPr>
      </w:pPr>
      <w:r w:rsidRPr="00832746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Wilt u meer leren over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webinar</w:t>
      </w:r>
      <w:r w:rsidRPr="00832746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? Vul de beslissingstool in en ontdek welke hulpmiddelen geschikt zijn voor uw vraag.</w:t>
      </w:r>
    </w:p>
    <w:p w14:paraId="6F2DAE6B" w14:textId="77777777" w:rsidR="00BE43C5" w:rsidRPr="00BE43C5" w:rsidRDefault="00BE43C5" w:rsidP="00BE43C5"/>
    <w:p w14:paraId="6A393014" w14:textId="77777777" w:rsidR="008327F6" w:rsidRPr="00832746" w:rsidRDefault="008327F6"/>
    <w:sectPr w:rsidR="008327F6" w:rsidRPr="00832746" w:rsidSect="004C5A09">
      <w:headerReference w:type="default" r:id="rId5"/>
      <w:pgSz w:w="11906" w:h="16838"/>
      <w:pgMar w:top="1417" w:right="1417" w:bottom="1417" w:left="1417" w:header="708" w:footer="708" w:gutter="0"/>
      <w:pgBorders w:offsetFrom="page">
        <w:top w:val="basicWideOutline" w:sz="6" w:space="24" w:color="4472C4" w:themeColor="accent1"/>
        <w:left w:val="basicWideOutline" w:sz="6" w:space="24" w:color="4472C4" w:themeColor="accent1"/>
        <w:bottom w:val="basicWideOutline" w:sz="6" w:space="24" w:color="4472C4" w:themeColor="accent1"/>
        <w:right w:val="basicWideOutline" w:sz="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2599" w14:textId="77777777" w:rsidR="004C5A09" w:rsidRDefault="0094451C">
    <w:pPr>
      <w:pStyle w:val="Koptekst"/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 wp14:anchorId="03D356D7" wp14:editId="5DB733EB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1769745" cy="992505"/>
          <wp:effectExtent l="0" t="0" r="1905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6640"/>
    <w:multiLevelType w:val="hybridMultilevel"/>
    <w:tmpl w:val="024EC6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711E6"/>
    <w:multiLevelType w:val="hybridMultilevel"/>
    <w:tmpl w:val="923C7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EADB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C5"/>
    <w:rsid w:val="00035D9D"/>
    <w:rsid w:val="000830BB"/>
    <w:rsid w:val="00083B5C"/>
    <w:rsid w:val="000B1792"/>
    <w:rsid w:val="001347DA"/>
    <w:rsid w:val="001A7E17"/>
    <w:rsid w:val="001F6133"/>
    <w:rsid w:val="002329F6"/>
    <w:rsid w:val="00240070"/>
    <w:rsid w:val="002B19B8"/>
    <w:rsid w:val="00455D02"/>
    <w:rsid w:val="0049243E"/>
    <w:rsid w:val="00496B1A"/>
    <w:rsid w:val="004B4E21"/>
    <w:rsid w:val="0053579F"/>
    <w:rsid w:val="00597B8A"/>
    <w:rsid w:val="005B41EA"/>
    <w:rsid w:val="005C2A27"/>
    <w:rsid w:val="005E7444"/>
    <w:rsid w:val="006118F0"/>
    <w:rsid w:val="006A3FFD"/>
    <w:rsid w:val="00751ECC"/>
    <w:rsid w:val="00832746"/>
    <w:rsid w:val="008327F6"/>
    <w:rsid w:val="00921066"/>
    <w:rsid w:val="0094009C"/>
    <w:rsid w:val="0094451C"/>
    <w:rsid w:val="009B3C22"/>
    <w:rsid w:val="009F0AAE"/>
    <w:rsid w:val="00B41577"/>
    <w:rsid w:val="00B577EA"/>
    <w:rsid w:val="00BA2A95"/>
    <w:rsid w:val="00BE108F"/>
    <w:rsid w:val="00BE43C5"/>
    <w:rsid w:val="00C809D1"/>
    <w:rsid w:val="00DE43E3"/>
    <w:rsid w:val="00E04CA9"/>
    <w:rsid w:val="00E52500"/>
    <w:rsid w:val="00F364A1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5508"/>
  <w15:chartTrackingRefBased/>
  <w15:docId w15:val="{0B74EF1D-F97E-445E-913D-EA2ED6FF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E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E43C5"/>
  </w:style>
  <w:style w:type="table" w:styleId="Tabelraster">
    <w:name w:val="Table Grid"/>
    <w:basedOn w:val="Standaardtabel"/>
    <w:uiPriority w:val="39"/>
    <w:rsid w:val="00BE43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8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Faifer</dc:creator>
  <cp:keywords/>
  <dc:description/>
  <cp:lastModifiedBy>Diana Faifer</cp:lastModifiedBy>
  <cp:revision>42</cp:revision>
  <dcterms:created xsi:type="dcterms:W3CDTF">2021-12-07T14:13:00Z</dcterms:created>
  <dcterms:modified xsi:type="dcterms:W3CDTF">2021-12-07T15:18:00Z</dcterms:modified>
</cp:coreProperties>
</file>